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Arial" w:cs="Arial" w:eastAsia="Arial" w:hAnsi="Arial"/>
          <w:color w:val="363636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363636"/>
          <w:sz w:val="24"/>
          <w:szCs w:val="24"/>
          <w:highlight w:val="white"/>
          <w:rtl w:val="0"/>
        </w:rPr>
        <w:t xml:space="preserve">Государственное бюджетное образовательное учреждение 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Arial" w:cs="Arial" w:eastAsia="Arial" w:hAnsi="Arial"/>
          <w:color w:val="363636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363636"/>
          <w:sz w:val="24"/>
          <w:szCs w:val="24"/>
          <w:highlight w:val="white"/>
          <w:rtl w:val="0"/>
        </w:rPr>
        <w:t xml:space="preserve">дополнительного образования детей 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Arial" w:cs="Arial" w:eastAsia="Arial" w:hAnsi="Arial"/>
          <w:color w:val="363636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63636"/>
          <w:sz w:val="24"/>
          <w:szCs w:val="24"/>
          <w:highlight w:val="white"/>
          <w:rtl w:val="0"/>
        </w:rPr>
        <w:t xml:space="preserve">специализированная детско-юношеская спортивная школа олимпийского резерва</w:t>
      </w:r>
      <w:r w:rsidDel="00000000" w:rsidR="00000000" w:rsidRPr="00000000">
        <w:rPr>
          <w:rFonts w:ascii="Arial" w:cs="Arial" w:eastAsia="Arial" w:hAnsi="Arial"/>
          <w:color w:val="363636"/>
          <w:sz w:val="28"/>
          <w:szCs w:val="28"/>
          <w:highlight w:val="white"/>
          <w:rtl w:val="0"/>
        </w:rPr>
        <w:t xml:space="preserve"> «Аллюр»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color w:val="36363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63636"/>
          <w:sz w:val="18"/>
          <w:szCs w:val="18"/>
          <w:highlight w:val="white"/>
          <w:rtl w:val="0"/>
        </w:rPr>
        <w:t xml:space="preserve">101100 г. Москва, 3-й бюджетный проезд, д.1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  <w:color w:val="36363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63636"/>
          <w:sz w:val="18"/>
          <w:szCs w:val="18"/>
          <w:rtl w:val="0"/>
        </w:rPr>
        <w:t xml:space="preserve">ИНН 1234567890    КПП 121001001 ОКПО 90100101  ОГРН 2323454567001</w:t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Arial" w:cs="Arial" w:eastAsia="Arial" w:hAnsi="Arial"/>
          <w:color w:val="363636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363636"/>
          <w:sz w:val="18"/>
          <w:szCs w:val="18"/>
          <w:highlight w:val="white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Arial" w:cs="Arial" w:eastAsia="Arial" w:hAnsi="Arial"/>
          <w:color w:val="36363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ПРИКАЗ</w:t>
      </w:r>
    </w:p>
    <w:p w:rsidR="00000000" w:rsidDel="00000000" w:rsidP="00000000" w:rsidRDefault="00000000" w:rsidRPr="00000000" w14:paraId="0000000A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600"/>
      </w:tblPr>
      <w:tblGrid>
        <w:gridCol w:w="4677.5"/>
        <w:gridCol w:w="4677.5"/>
        <w:tblGridChange w:id="0">
          <w:tblGrid>
            <w:gridCol w:w="4677.5"/>
            <w:gridCol w:w="4677.5"/>
          </w:tblGrid>
        </w:tblGridChange>
      </w:tblGrid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12.05.2014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№ 14-од</w:t>
            </w:r>
          </w:p>
        </w:tc>
      </w:tr>
    </w:tbl>
    <w:p w:rsidR="00000000" w:rsidDel="00000000" w:rsidP="00000000" w:rsidRDefault="00000000" w:rsidRPr="00000000" w14:paraId="0000000D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Москва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 утверждении должностной инструкции в новой редакции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целях актуализации локальных нормативных актов, регламентирующих профессиональную деятельность работника, на основании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highlight w:val="white"/>
          <w:rtl w:val="0"/>
        </w:rPr>
        <w:t xml:space="preserve">Приказа Минтруда России от 7 апреля 2014 г. № 193н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ПРИКАЗЫВАЮ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Утвердить должностную инструкцию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преподавателя верховой езды в новой редакции и ввести её в действие с 12.05.2014.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12.05.2014 считать утратившей силу должностную инструкцию преподавателя верховой езды, утвержденную приказом 99-од от 12.06.2011.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Ознакомить преподавателя верховой езды Петрова Петра Петровича с должностной инструкцией в новой редакции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Контроль за исполнением настоящего приказа возложить на руководителя отдела кадров Александрова Александра Александровича.</w:t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Директор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Иванов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И.И. Иванов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 приказом ознакомлены:</w:t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Руководитель отдела кадров         Александров             А.А. Александров 12.05.2014</w:t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Преподаватель верховой езды      Петров                П.П. Петров  12.05.2014</w:t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