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Calibri"/>
          <w:b/>
          <w:sz w:val="22"/>
          <w:szCs w:val="22"/>
          <w:lang w:eastAsia="en-US"/>
        </w:rPr>
      </w:pPr>
      <w:r>
        <w:rPr>
          <w:rFonts w:ascii="Times New Roman" w:hAnsi="Times New Roman" w:eastAsia="Calibri"/>
          <w:b/>
          <w:sz w:val="22"/>
          <w:szCs w:val="22"/>
          <w:lang w:eastAsia="en-US"/>
        </w:rPr>
        <w:t>Техническое задание</w:t>
      </w:r>
    </w:p>
    <w:p>
      <w:pPr>
        <w:spacing w:after="200" w:line="276" w:lineRule="auto"/>
        <w:ind w:firstLine="0"/>
        <w:jc w:val="center"/>
        <w:rPr>
          <w:rFonts w:ascii="Times New Roman" w:hAnsi="Times New Roman" w:eastAsia="Calibri"/>
          <w:i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i/>
          <w:sz w:val="22"/>
          <w:szCs w:val="22"/>
          <w:lang w:eastAsia="en-US"/>
        </w:rPr>
        <w:t>на оказание услуг по техническому обслуживанию и текущему ремонту лифтов</w:t>
      </w:r>
      <w:r>
        <w:rPr>
          <w:rFonts w:ascii="Times New Roman" w:hAnsi="Times New Roman" w:eastAsia="Calibri"/>
          <w:i/>
          <w:sz w:val="22"/>
          <w:szCs w:val="22"/>
          <w:lang w:val="ru-RU" w:eastAsia="en-US"/>
        </w:rPr>
        <w:t xml:space="preserve"> Городской клинической больницы № 123</w:t>
      </w:r>
    </w:p>
    <w:p>
      <w:pPr>
        <w:spacing w:line="276" w:lineRule="auto"/>
        <w:ind w:firstLine="0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Сведения о лифтах:</w:t>
      </w:r>
    </w:p>
    <w:tbl>
      <w:tblPr>
        <w:tblStyle w:val="4"/>
        <w:tblW w:w="10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516"/>
        <w:gridCol w:w="1574"/>
        <w:gridCol w:w="786"/>
        <w:gridCol w:w="1442"/>
        <w:gridCol w:w="1311"/>
        <w:gridCol w:w="1213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66" w:type="dxa"/>
          </w:tcPr>
          <w:p>
            <w:pPr>
              <w:spacing w:after="200" w:line="276" w:lineRule="auto"/>
              <w:ind w:firstLine="0"/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  <w:t>№ п/п</w:t>
            </w:r>
          </w:p>
        </w:tc>
        <w:tc>
          <w:tcPr>
            <w:tcW w:w="2516" w:type="dxa"/>
          </w:tcPr>
          <w:p>
            <w:pPr>
              <w:spacing w:after="200" w:line="276" w:lineRule="auto"/>
              <w:ind w:firstLine="0"/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  <w:t>Адрес нахождения лифта</w:t>
            </w:r>
          </w:p>
        </w:tc>
        <w:tc>
          <w:tcPr>
            <w:tcW w:w="1574" w:type="dxa"/>
          </w:tcPr>
          <w:p>
            <w:pPr>
              <w:spacing w:after="200" w:line="276" w:lineRule="auto"/>
              <w:ind w:firstLine="0"/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  <w:t>Тип лифта</w:t>
            </w:r>
          </w:p>
        </w:tc>
        <w:tc>
          <w:tcPr>
            <w:tcW w:w="786" w:type="dxa"/>
          </w:tcPr>
          <w:p>
            <w:pPr>
              <w:spacing w:after="200" w:line="276" w:lineRule="auto"/>
              <w:ind w:firstLine="0"/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  <w:t>Число этажей</w:t>
            </w:r>
          </w:p>
        </w:tc>
        <w:tc>
          <w:tcPr>
            <w:tcW w:w="1442" w:type="dxa"/>
          </w:tcPr>
          <w:p>
            <w:pPr>
              <w:spacing w:after="200" w:line="276" w:lineRule="auto"/>
              <w:ind w:firstLine="0"/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  <w:t>Тип НКУ</w:t>
            </w:r>
          </w:p>
        </w:tc>
        <w:tc>
          <w:tcPr>
            <w:tcW w:w="1311" w:type="dxa"/>
          </w:tcPr>
          <w:p>
            <w:pPr>
              <w:spacing w:after="200" w:line="276" w:lineRule="auto"/>
              <w:ind w:firstLine="0"/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  <w:t>Грузо-подъемность</w:t>
            </w:r>
          </w:p>
        </w:tc>
        <w:tc>
          <w:tcPr>
            <w:tcW w:w="1213" w:type="dxa"/>
          </w:tcPr>
          <w:p>
            <w:pPr>
              <w:spacing w:after="200" w:line="276" w:lineRule="auto"/>
              <w:ind w:firstLine="0"/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  <w:t>Год ввода в эксплуата-цию</w:t>
            </w:r>
          </w:p>
        </w:tc>
        <w:tc>
          <w:tcPr>
            <w:tcW w:w="1113" w:type="dxa"/>
          </w:tcPr>
          <w:p>
            <w:pPr>
              <w:spacing w:after="200" w:line="276" w:lineRule="auto"/>
              <w:ind w:firstLine="0"/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2"/>
                <w:lang w:eastAsia="en-US"/>
              </w:rPr>
              <w:t>Тип диспетчер-ской связи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line="276" w:lineRule="auto"/>
              <w:ind w:firstLine="0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>1</w:t>
            </w:r>
          </w:p>
        </w:tc>
        <w:tc>
          <w:tcPr>
            <w:tcW w:w="2516" w:type="dxa"/>
          </w:tcPr>
          <w:p>
            <w:pPr>
              <w:ind w:firstLine="0"/>
              <w:jc w:val="left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 xml:space="preserve">Г. </w:t>
            </w:r>
            <w:r>
              <w:rPr>
                <w:rFonts w:ascii="Times New Roman" w:hAnsi="Times New Roman" w:eastAsia="Calibri"/>
                <w:szCs w:val="22"/>
                <w:lang w:val="ru-RU" w:eastAsia="en-US"/>
              </w:rPr>
              <w:t>Москва</w:t>
            </w:r>
            <w:r>
              <w:rPr>
                <w:rFonts w:ascii="Times New Roman" w:hAnsi="Times New Roman" w:eastAsia="Calibri"/>
                <w:szCs w:val="22"/>
                <w:lang w:eastAsia="en-US"/>
              </w:rPr>
              <w:t xml:space="preserve">, ул. </w:t>
            </w:r>
            <w:r>
              <w:rPr>
                <w:rFonts w:ascii="Times New Roman" w:hAnsi="Times New Roman" w:eastAsia="Calibri"/>
                <w:szCs w:val="22"/>
                <w:lang w:val="ru-RU" w:eastAsia="en-US"/>
              </w:rPr>
              <w:t>Здоровья</w:t>
            </w:r>
            <w:r>
              <w:rPr>
                <w:rFonts w:ascii="Times New Roman" w:hAnsi="Times New Roman" w:eastAsia="Calibri"/>
                <w:szCs w:val="22"/>
                <w:lang w:eastAsia="en-US"/>
              </w:rPr>
              <w:t xml:space="preserve">, д. </w:t>
            </w:r>
            <w:r>
              <w:rPr>
                <w:rFonts w:ascii="Times New Roman" w:hAnsi="Times New Roman" w:eastAsia="Calibri"/>
                <w:szCs w:val="22"/>
                <w:lang w:val="ru-RU" w:eastAsia="en-US"/>
              </w:rPr>
              <w:t>1</w:t>
            </w:r>
            <w:r>
              <w:rPr>
                <w:rFonts w:ascii="Times New Roman" w:hAnsi="Times New Roman" w:eastAsia="Calibri"/>
                <w:szCs w:val="22"/>
                <w:lang w:eastAsia="en-US"/>
              </w:rPr>
              <w:t>, здание главного корпуса</w:t>
            </w:r>
          </w:p>
        </w:tc>
        <w:tc>
          <w:tcPr>
            <w:tcW w:w="1574" w:type="dxa"/>
          </w:tcPr>
          <w:p>
            <w:pPr>
              <w:spacing w:line="276" w:lineRule="auto"/>
              <w:ind w:left="-14" w:firstLine="0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 xml:space="preserve">Больничный </w:t>
            </w:r>
          </w:p>
        </w:tc>
        <w:tc>
          <w:tcPr>
            <w:tcW w:w="786" w:type="dxa"/>
          </w:tcPr>
          <w:p>
            <w:pPr>
              <w:spacing w:line="276" w:lineRule="auto"/>
              <w:ind w:left="-14" w:firstLine="0"/>
              <w:jc w:val="center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>4</w:t>
            </w:r>
          </w:p>
        </w:tc>
        <w:tc>
          <w:tcPr>
            <w:tcW w:w="1442" w:type="dxa"/>
          </w:tcPr>
          <w:p>
            <w:pPr>
              <w:ind w:left="-14" w:firstLine="0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 xml:space="preserve">Электронное </w:t>
            </w:r>
          </w:p>
        </w:tc>
        <w:tc>
          <w:tcPr>
            <w:tcW w:w="1311" w:type="dxa"/>
          </w:tcPr>
          <w:p>
            <w:pPr>
              <w:spacing w:line="276" w:lineRule="auto"/>
              <w:ind w:left="-14" w:firstLine="0"/>
              <w:jc w:val="center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>500 кг</w:t>
            </w:r>
          </w:p>
        </w:tc>
        <w:tc>
          <w:tcPr>
            <w:tcW w:w="1213" w:type="dxa"/>
          </w:tcPr>
          <w:p>
            <w:pPr>
              <w:spacing w:line="276" w:lineRule="auto"/>
              <w:ind w:left="-14" w:firstLine="0"/>
              <w:jc w:val="center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>2020</w:t>
            </w:r>
          </w:p>
        </w:tc>
        <w:tc>
          <w:tcPr>
            <w:tcW w:w="1113" w:type="dxa"/>
          </w:tcPr>
          <w:p>
            <w:pPr>
              <w:spacing w:line="276" w:lineRule="auto"/>
              <w:ind w:left="-14" w:firstLine="0"/>
              <w:jc w:val="center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>КДК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line="276" w:lineRule="auto"/>
              <w:ind w:firstLine="0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>2</w:t>
            </w:r>
          </w:p>
        </w:tc>
        <w:tc>
          <w:tcPr>
            <w:tcW w:w="2516" w:type="dxa"/>
          </w:tcPr>
          <w:p>
            <w:pPr>
              <w:ind w:firstLine="0"/>
              <w:jc w:val="left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 xml:space="preserve">Г. </w:t>
            </w:r>
            <w:r>
              <w:rPr>
                <w:rFonts w:ascii="Times New Roman" w:hAnsi="Times New Roman" w:eastAsia="Calibri"/>
                <w:szCs w:val="22"/>
                <w:lang w:val="ru-RU" w:eastAsia="en-US"/>
              </w:rPr>
              <w:t>Москва</w:t>
            </w:r>
            <w:r>
              <w:rPr>
                <w:rFonts w:ascii="Times New Roman" w:hAnsi="Times New Roman" w:eastAsia="Calibri"/>
                <w:szCs w:val="22"/>
                <w:lang w:eastAsia="en-US"/>
              </w:rPr>
              <w:t xml:space="preserve">, ул. </w:t>
            </w:r>
            <w:r>
              <w:rPr>
                <w:rFonts w:ascii="Times New Roman" w:hAnsi="Times New Roman" w:eastAsia="Calibri"/>
                <w:szCs w:val="22"/>
                <w:lang w:val="ru-RU" w:eastAsia="en-US"/>
              </w:rPr>
              <w:t>Здоровья</w:t>
            </w:r>
            <w:r>
              <w:rPr>
                <w:rFonts w:ascii="Times New Roman" w:hAnsi="Times New Roman" w:eastAsia="Calibri"/>
                <w:szCs w:val="22"/>
                <w:lang w:eastAsia="en-US"/>
              </w:rPr>
              <w:t xml:space="preserve">, д. </w:t>
            </w:r>
            <w:r>
              <w:rPr>
                <w:rFonts w:ascii="Times New Roman" w:hAnsi="Times New Roman" w:eastAsia="Calibri"/>
                <w:szCs w:val="22"/>
                <w:lang w:val="ru-RU" w:eastAsia="en-US"/>
              </w:rPr>
              <w:t>1</w:t>
            </w:r>
            <w:r>
              <w:rPr>
                <w:rFonts w:ascii="Times New Roman" w:hAnsi="Times New Roman" w:eastAsia="Calibri"/>
                <w:szCs w:val="22"/>
                <w:lang w:eastAsia="en-US"/>
              </w:rPr>
              <w:t>, корп.1</w:t>
            </w:r>
          </w:p>
          <w:p>
            <w:pPr>
              <w:spacing w:line="276" w:lineRule="auto"/>
              <w:ind w:firstLine="0"/>
              <w:jc w:val="left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>Здание поликлиники</w:t>
            </w:r>
          </w:p>
        </w:tc>
        <w:tc>
          <w:tcPr>
            <w:tcW w:w="1574" w:type="dxa"/>
          </w:tcPr>
          <w:p>
            <w:pPr>
              <w:spacing w:line="276" w:lineRule="auto"/>
              <w:ind w:left="-14" w:firstLine="0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 xml:space="preserve">Пассажирский </w:t>
            </w:r>
          </w:p>
        </w:tc>
        <w:tc>
          <w:tcPr>
            <w:tcW w:w="786" w:type="dxa"/>
          </w:tcPr>
          <w:p>
            <w:pPr>
              <w:spacing w:line="276" w:lineRule="auto"/>
              <w:ind w:left="-14" w:firstLine="0"/>
              <w:jc w:val="center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>3</w:t>
            </w:r>
          </w:p>
        </w:tc>
        <w:tc>
          <w:tcPr>
            <w:tcW w:w="1442" w:type="dxa"/>
          </w:tcPr>
          <w:p>
            <w:pPr>
              <w:ind w:firstLine="0"/>
              <w:jc w:val="left"/>
              <w:rPr>
                <w:rFonts w:ascii="Calibri" w:hAnsi="Calibri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 xml:space="preserve">Электронное </w:t>
            </w:r>
          </w:p>
        </w:tc>
        <w:tc>
          <w:tcPr>
            <w:tcW w:w="1311" w:type="dxa"/>
          </w:tcPr>
          <w:p>
            <w:pPr>
              <w:spacing w:line="276" w:lineRule="auto"/>
              <w:ind w:left="-14" w:firstLine="0"/>
              <w:jc w:val="center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>1000 кг</w:t>
            </w:r>
          </w:p>
        </w:tc>
        <w:tc>
          <w:tcPr>
            <w:tcW w:w="1213" w:type="dxa"/>
          </w:tcPr>
          <w:p>
            <w:pPr>
              <w:spacing w:line="276" w:lineRule="auto"/>
              <w:ind w:left="-14" w:firstLine="0"/>
              <w:jc w:val="center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>2021</w:t>
            </w:r>
          </w:p>
        </w:tc>
        <w:tc>
          <w:tcPr>
            <w:tcW w:w="1113" w:type="dxa"/>
          </w:tcPr>
          <w:p>
            <w:pPr>
              <w:spacing w:line="276" w:lineRule="auto"/>
              <w:ind w:firstLine="0"/>
              <w:jc w:val="center"/>
              <w:rPr>
                <w:rFonts w:ascii="Calibri" w:hAnsi="Calibri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>КДК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>
            <w:pPr>
              <w:spacing w:line="276" w:lineRule="auto"/>
              <w:ind w:firstLine="0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>3</w:t>
            </w:r>
          </w:p>
        </w:tc>
        <w:tc>
          <w:tcPr>
            <w:tcW w:w="2516" w:type="dxa"/>
          </w:tcPr>
          <w:p>
            <w:pPr>
              <w:ind w:firstLine="0"/>
              <w:jc w:val="left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 xml:space="preserve">Г. </w:t>
            </w:r>
            <w:r>
              <w:rPr>
                <w:rFonts w:ascii="Times New Roman" w:hAnsi="Times New Roman" w:eastAsia="Calibri"/>
                <w:szCs w:val="22"/>
                <w:lang w:val="ru-RU" w:eastAsia="en-US"/>
              </w:rPr>
              <w:t>Москва</w:t>
            </w:r>
            <w:r>
              <w:rPr>
                <w:rFonts w:ascii="Times New Roman" w:hAnsi="Times New Roman" w:eastAsia="Calibri"/>
                <w:szCs w:val="22"/>
                <w:lang w:eastAsia="en-US"/>
              </w:rPr>
              <w:t xml:space="preserve">, ул. </w:t>
            </w:r>
            <w:r>
              <w:rPr>
                <w:rFonts w:ascii="Times New Roman" w:hAnsi="Times New Roman" w:eastAsia="Calibri"/>
                <w:szCs w:val="22"/>
                <w:lang w:val="ru-RU" w:eastAsia="en-US"/>
              </w:rPr>
              <w:t>Здоровья</w:t>
            </w:r>
            <w:r>
              <w:rPr>
                <w:rFonts w:ascii="Times New Roman" w:hAnsi="Times New Roman" w:eastAsia="Calibri"/>
                <w:szCs w:val="22"/>
                <w:lang w:eastAsia="en-US"/>
              </w:rPr>
              <w:t xml:space="preserve">, д. </w:t>
            </w:r>
            <w:r>
              <w:rPr>
                <w:rFonts w:ascii="Times New Roman" w:hAnsi="Times New Roman" w:eastAsia="Calibri"/>
                <w:szCs w:val="22"/>
                <w:lang w:val="ru-RU" w:eastAsia="en-US"/>
              </w:rPr>
              <w:t>1</w:t>
            </w:r>
            <w:r>
              <w:rPr>
                <w:rFonts w:ascii="Times New Roman" w:hAnsi="Times New Roman" w:eastAsia="Calibri"/>
                <w:szCs w:val="22"/>
                <w:lang w:eastAsia="en-US"/>
              </w:rPr>
              <w:t>, корп.1</w:t>
            </w:r>
          </w:p>
          <w:p>
            <w:pPr>
              <w:spacing w:line="276" w:lineRule="auto"/>
              <w:ind w:firstLine="0"/>
              <w:jc w:val="left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>Здание поликлиники</w:t>
            </w:r>
          </w:p>
        </w:tc>
        <w:tc>
          <w:tcPr>
            <w:tcW w:w="1574" w:type="dxa"/>
          </w:tcPr>
          <w:p>
            <w:pPr>
              <w:spacing w:line="276" w:lineRule="auto"/>
              <w:ind w:left="-14" w:firstLine="0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 xml:space="preserve">Пассажирский </w:t>
            </w:r>
          </w:p>
        </w:tc>
        <w:tc>
          <w:tcPr>
            <w:tcW w:w="786" w:type="dxa"/>
          </w:tcPr>
          <w:p>
            <w:pPr>
              <w:spacing w:line="276" w:lineRule="auto"/>
              <w:ind w:left="-14" w:firstLine="0"/>
              <w:jc w:val="center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>4</w:t>
            </w:r>
          </w:p>
        </w:tc>
        <w:tc>
          <w:tcPr>
            <w:tcW w:w="1442" w:type="dxa"/>
          </w:tcPr>
          <w:p>
            <w:pPr>
              <w:ind w:firstLine="0"/>
              <w:jc w:val="left"/>
              <w:rPr>
                <w:rFonts w:ascii="Calibri" w:hAnsi="Calibri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 xml:space="preserve">Электронное </w:t>
            </w:r>
          </w:p>
        </w:tc>
        <w:tc>
          <w:tcPr>
            <w:tcW w:w="1311" w:type="dxa"/>
          </w:tcPr>
          <w:p>
            <w:pPr>
              <w:spacing w:line="276" w:lineRule="auto"/>
              <w:ind w:left="-14" w:firstLine="0"/>
              <w:jc w:val="center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>630 кг</w:t>
            </w:r>
          </w:p>
        </w:tc>
        <w:tc>
          <w:tcPr>
            <w:tcW w:w="1213" w:type="dxa"/>
          </w:tcPr>
          <w:p>
            <w:pPr>
              <w:spacing w:line="276" w:lineRule="auto"/>
              <w:ind w:left="-14" w:firstLine="0"/>
              <w:jc w:val="center"/>
              <w:rPr>
                <w:rFonts w:ascii="Times New Roman" w:hAnsi="Times New Roman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>2021</w:t>
            </w:r>
          </w:p>
        </w:tc>
        <w:tc>
          <w:tcPr>
            <w:tcW w:w="1113" w:type="dxa"/>
          </w:tcPr>
          <w:p>
            <w:pPr>
              <w:spacing w:line="276" w:lineRule="auto"/>
              <w:ind w:firstLine="0"/>
              <w:jc w:val="center"/>
              <w:rPr>
                <w:rFonts w:ascii="Calibri" w:hAnsi="Calibri" w:eastAsia="Calibri"/>
                <w:szCs w:val="22"/>
                <w:lang w:eastAsia="en-US"/>
              </w:rPr>
            </w:pPr>
            <w:r>
              <w:rPr>
                <w:rFonts w:ascii="Times New Roman" w:hAnsi="Times New Roman" w:eastAsia="Calibri"/>
                <w:szCs w:val="22"/>
                <w:lang w:eastAsia="en-US"/>
              </w:rPr>
              <w:t>КДК</w:t>
            </w:r>
          </w:p>
        </w:tc>
      </w:tr>
    </w:tbl>
    <w:p>
      <w:pPr>
        <w:ind w:firstLine="0"/>
        <w:rPr>
          <w:rFonts w:ascii="Times New Roman" w:hAnsi="Times New Roman" w:eastAsia="Calibri"/>
          <w:sz w:val="22"/>
          <w:szCs w:val="22"/>
          <w:lang w:eastAsia="en-US"/>
        </w:rPr>
      </w:pPr>
    </w:p>
    <w:p>
      <w:pPr>
        <w:ind w:firstLine="0"/>
        <w:rPr>
          <w:rFonts w:ascii="Times New Roman" w:hAnsi="Times New Roman" w:eastAsia="Calibri"/>
          <w:sz w:val="22"/>
          <w:szCs w:val="22"/>
          <w:lang w:eastAsia="en-US"/>
        </w:rPr>
      </w:pP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Услуги по техническому обслуживанию и текущему ремонту лифтов (далее – Услуги) включают: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периодические осмотры, п</w:t>
      </w:r>
      <w:bookmarkStart w:id="3" w:name="_GoBack"/>
      <w:bookmarkEnd w:id="3"/>
      <w:r>
        <w:rPr>
          <w:rFonts w:ascii="Times New Roman" w:hAnsi="Times New Roman" w:eastAsia="Calibri"/>
          <w:sz w:val="22"/>
          <w:szCs w:val="22"/>
          <w:lang w:eastAsia="en-US"/>
        </w:rPr>
        <w:t>роверки лифтов;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- техническое обслуживание лифтов (смазка, очистка, </w:t>
      </w:r>
      <w:r>
        <w:rPr>
          <w:rFonts w:ascii="Times New Roman" w:hAnsi="Times New Roman" w:eastAsia="Calibri"/>
          <w:spacing w:val="2"/>
          <w:sz w:val="22"/>
          <w:szCs w:val="22"/>
          <w:lang w:eastAsia="en-US"/>
        </w:rPr>
        <w:t>работы по регулировке, наладке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 и др.), в т.ч.  оборудования систем диспетчерского контроля работы лифтов, в соответствии с паспортом на лифт и Руководством по эксплуатации лифтов;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текущий ремонт лифтов</w:t>
      </w:r>
      <w:r>
        <w:rPr>
          <w:rFonts w:ascii="Arial" w:hAnsi="Arial" w:eastAsia="Calibri" w:cs="Arial"/>
          <w:color w:val="2D2D2D"/>
          <w:spacing w:val="2"/>
          <w:sz w:val="21"/>
          <w:szCs w:val="21"/>
          <w:lang w:eastAsia="en-US"/>
        </w:rPr>
        <w:t xml:space="preserve"> </w:t>
      </w:r>
      <w:r>
        <w:rPr>
          <w:rFonts w:ascii="Times New Roman" w:hAnsi="Times New Roman" w:eastAsia="Calibri"/>
          <w:spacing w:val="2"/>
          <w:sz w:val="22"/>
          <w:szCs w:val="22"/>
          <w:lang w:eastAsia="en-US"/>
        </w:rPr>
        <w:t>(в т.ч. ремонт или замена вышедших из строя быстроизнашивающихся частей лифта)</w:t>
      </w:r>
      <w:r>
        <w:rPr>
          <w:rFonts w:ascii="Times New Roman" w:hAnsi="Times New Roman" w:eastAsia="Calibri"/>
          <w:sz w:val="22"/>
          <w:szCs w:val="22"/>
          <w:lang w:eastAsia="en-US"/>
        </w:rPr>
        <w:t>, в т.ч.оборудования систем диспетчерского контроля работы лифтов, с целью восстановления их исправности (работоспособности), а также поддержания эксплуатационных показателей;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- аварийно-техническое обслуживание, включающее проведение работ по </w:t>
      </w:r>
      <w:r>
        <w:rPr>
          <w:rFonts w:ascii="Times New Roman" w:hAnsi="Times New Roman" w:eastAsia="Calibri"/>
          <w:spacing w:val="2"/>
          <w:sz w:val="22"/>
          <w:szCs w:val="22"/>
          <w:lang w:eastAsia="en-US"/>
        </w:rPr>
        <w:t>безопасной эвакуации людей из кабины</w:t>
      </w:r>
      <w:r>
        <w:rPr>
          <w:rFonts w:ascii="Arial" w:hAnsi="Arial" w:eastAsia="Calibri" w:cs="Arial"/>
          <w:color w:val="2D2D2D"/>
          <w:spacing w:val="2"/>
          <w:sz w:val="21"/>
          <w:szCs w:val="21"/>
          <w:lang w:eastAsia="en-US"/>
        </w:rPr>
        <w:t xml:space="preserve"> </w:t>
      </w:r>
      <w:r>
        <w:rPr>
          <w:rFonts w:ascii="Times New Roman" w:hAnsi="Times New Roman" w:eastAsia="Calibri"/>
          <w:sz w:val="22"/>
          <w:szCs w:val="22"/>
          <w:lang w:eastAsia="en-US"/>
        </w:rPr>
        <w:t>из остановившихся лифтов и пуск остановившихся лифтов в работу, в том числе в выходные и праздничные дни.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Срок оказания Услуг – </w:t>
      </w:r>
      <w:r>
        <w:rPr>
          <w:rFonts w:ascii="Times New Roman" w:hAnsi="Times New Roman" w:eastAsia="Calibri"/>
          <w:i/>
          <w:sz w:val="22"/>
          <w:szCs w:val="22"/>
          <w:u w:val="single"/>
          <w:lang w:eastAsia="en-US"/>
        </w:rPr>
        <w:t>с даты заключение контракта  по 31 декабря 2021г., ежемесячно.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bookmarkStart w:id="0" w:name="OLE_LINK7"/>
      <w:bookmarkStart w:id="1" w:name="OLE_LINK6"/>
      <w:bookmarkStart w:id="2" w:name="OLE_LINK8"/>
      <w:r>
        <w:rPr>
          <w:rFonts w:ascii="Times New Roman" w:hAnsi="Times New Roman" w:eastAsia="Calibri"/>
          <w:sz w:val="22"/>
          <w:szCs w:val="22"/>
          <w:lang w:eastAsia="en-US"/>
        </w:rPr>
        <w:t>Исполнитель должен: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соответствовать требованиям, предъявляемым к организациям, оказывающим услуги по техническому обслуживанию, ремонту лифтов и систем диспетчерского контроля работы лифтов;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- </w:t>
      </w:r>
      <w:r>
        <w:rPr>
          <w:rFonts w:ascii="Times New Roman" w:hAnsi="Times New Roman" w:eastAsia="Calibri"/>
          <w:spacing w:val="2"/>
          <w:sz w:val="22"/>
          <w:szCs w:val="22"/>
          <w:lang w:eastAsia="en-US"/>
        </w:rPr>
        <w:t>иметь материально-техническую базу, технические средства, оборудование для оказания Услуг</w:t>
      </w:r>
      <w:r>
        <w:rPr>
          <w:rFonts w:ascii="Times New Roman" w:hAnsi="Times New Roman" w:eastAsia="Calibri"/>
          <w:sz w:val="22"/>
          <w:szCs w:val="22"/>
          <w:lang w:eastAsia="en-US"/>
        </w:rPr>
        <w:t>;</w:t>
      </w:r>
    </w:p>
    <w:p>
      <w:pPr>
        <w:ind w:firstLine="567"/>
        <w:rPr>
          <w:rFonts w:ascii="Times New Roman" w:hAnsi="Times New Roman" w:eastAsia="Calibri"/>
          <w:spacing w:val="2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</w:t>
      </w:r>
      <w:r>
        <w:rPr>
          <w:rFonts w:ascii="Times New Roman" w:hAnsi="Times New Roman" w:eastAsia="Calibri"/>
          <w:spacing w:val="2"/>
          <w:sz w:val="22"/>
          <w:szCs w:val="22"/>
          <w:lang w:eastAsia="en-US"/>
        </w:rPr>
        <w:t>располагать достаточным количеством специалистов и рабочих, имеющих профессиональную подготовку и соответствующую квалификацию и имеющих необходимые группы по электробезопасности. Численность квалифицированного персонала должна быть достаточной для выполнения работ по техническому обслуживанию и ремонту лифтов и оборудования систем диспетчерского контроля, предусмотренных руководством по эксплуатации изготовителя.</w:t>
      </w:r>
    </w:p>
    <w:p>
      <w:pPr>
        <w:ind w:firstLine="567"/>
        <w:rPr>
          <w:rFonts w:ascii="Times New Roman" w:hAnsi="Times New Roman" w:eastAsia="Calibri"/>
          <w:spacing w:val="2"/>
          <w:sz w:val="22"/>
          <w:szCs w:val="22"/>
          <w:lang w:eastAsia="en-US"/>
        </w:rPr>
      </w:pPr>
      <w:r>
        <w:rPr>
          <w:rFonts w:ascii="Times New Roman" w:hAnsi="Times New Roman" w:eastAsia="Calibri"/>
          <w:spacing w:val="2"/>
          <w:sz w:val="22"/>
          <w:szCs w:val="22"/>
          <w:lang w:eastAsia="en-US"/>
        </w:rPr>
        <w:t>- осуществлять контроль качества выполняемых работ в рамках оказываемых Услуг.</w:t>
      </w:r>
    </w:p>
    <w:p>
      <w:pPr>
        <w:tabs>
          <w:tab w:val="left" w:pos="0"/>
          <w:tab w:val="left" w:pos="1980"/>
        </w:tabs>
        <w:ind w:firstLine="567"/>
        <w:rPr>
          <w:rFonts w:ascii="Times New Roman" w:hAnsi="Times New Roman" w:eastAsia="Calibri"/>
          <w:iCs/>
          <w:sz w:val="22"/>
          <w:szCs w:val="22"/>
        </w:rPr>
      </w:pPr>
      <w:r>
        <w:rPr>
          <w:rFonts w:ascii="Times New Roman" w:hAnsi="Times New Roman" w:eastAsia="Calibri"/>
          <w:szCs w:val="24"/>
        </w:rPr>
        <w:t xml:space="preserve">Исполнитель должен оказывать Услуги в соответствии с </w:t>
      </w:r>
      <w:r>
        <w:rPr>
          <w:rFonts w:ascii="Times New Roman" w:hAnsi="Times New Roman" w:eastAsia="Calibri"/>
          <w:iCs/>
          <w:sz w:val="22"/>
          <w:szCs w:val="22"/>
        </w:rPr>
        <w:t>требованиями следующих нормативно-правовых актов: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ТР ТС 011/2011 «Технический регламент Таможенного союза. Безопасность лифтов» (принят Решением Комиссии Таможенного союза от 18.10.2011г. №824);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ГОСТ Р 55964-2014 «Лифты. Общие требования безопасности при эксплуатации»;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ГОСТ 34303-2017 (</w:t>
      </w:r>
      <w:r>
        <w:rPr>
          <w:rFonts w:ascii="Times New Roman" w:hAnsi="Times New Roman" w:eastAsia="Calibri"/>
          <w:sz w:val="22"/>
          <w:szCs w:val="22"/>
          <w:lang w:val="en-US" w:eastAsia="en-US"/>
        </w:rPr>
        <w:t>EN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 13015:2001+А1:2008) «Лифты. Общие требования к руководству по техническому обслуживанию лифтов»; 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«Правила технической эксплуатации электроустановок потребителей», введенные в действие приказом № 6 Минэнерго РФ от 13.01.2003г. и зарегистрированные в Минюсте РФ 22.01.2003 за №4145;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«Положение об организации эксплуатации лифтов в Российской Федерации», утв. приказом Госстроя РФ от 30.06.99 №158;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- паспорта, Руководство по эксплуатации оборудования и иная нормативная документация, регламентирующая оказание данного вида Услуг, </w:t>
      </w:r>
      <w:bookmarkEnd w:id="0"/>
      <w:bookmarkEnd w:id="1"/>
      <w:bookmarkEnd w:id="2"/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Исполнитель обеспечивает: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- содержание лифтов, в т.ч.  оборудования систем диспетчерского контроля работы лифтов, в исправном состоянии при эксплуатации в сроки и в объеме, предусмотренные эксплуатационной документацией заводов-изготовителей и иной нормативно-технической документацией по техническому обслуживанию лифтового оборудования; 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выполнение работ по техническому обслуживанию лифтов, включая регулярные проверки, в соответствии с руководством изготовителя по техническому обслуживанию и производственными (рабочими) инструкциями;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безопасность для всех рабочих зон и работ по техническому обслуживанию, выполняемых в соответствии с руководством по техническому обслуживанию;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информирование владельца лифта о результатах оценки рисков, особенно в части доступа к лифтовому оборудованию и/или условий эксплуатации лифта в здании;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выполнение профилактического технического обслуживания для сокращения времени вывода лифта из использования по назначению;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выполнение работ только квалифицированным, обученным персоналом, который обеспечен необходимым инструментом и инструкциями;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корректировку состава и периодичности работ по техническому обслуживанию с учетом режима использования лифта, условия его работы и технического состояния;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эвакуацию людей из кабины лифта по вызову, в том числе с использованием устройств диспетчерского контроля работы лифта;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документирование результатов работ по техническому обслуживанию, связанных с выходом из строя элементов лифта. Эти записи должны содержать причину выхода из строя и быть доступными владельцу лифта;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информирование владельца о выводе лифта из эксплуатации в тех случаях, когда при техническом обслуживании была установлена опасность для пользователей;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своевременное приобретение и замена быстроизнашивающихся запасных частей;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участие в проведении третьей стороной работ по оценке соответствия, а также присутствие при проведении строительных работ, работ по видеонаблюдению и ремонту диспетчерской связи в помещениях для размещения лифтового оборудования;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информирование владельца лифта о необходимости модернизации или замены лифта;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- организацию эвакуации людей из кабины лифта, включая возможное привлечение других организаций.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Исполнитель определяет необходимую потребность запасных частей и материалов для проведения текущих, ежегодных и капитальных ремонтов лифтов путем составления ведомостей дефектов. Ведомость дефектов хранится в паспорте лифта.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Исполнитель участвует в комиссии по разбору аварий, умышленной порчи, хищений лифтового оборудования и составлении актов по результатам расследований, принимает участие в проведении контрольных осмотров и технических освидетельствований лифтов, проводимых инспекторами Ростехнадзора и специалистами инженерных центров.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Исполнитель обеспечивает устранение остановок лифтов, возникающих из-за технических неисправностей, в любое время суток и в любой день (включая выходные и праздничные дни) силами аварийной службы. При этом время высвобождения пассажира не должно превышать 30 минут, а устранение технической неисправности – 1 сутки со времени поступления заявки в аварийную службу.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Исполнитель производит ремонт машинных и блочных помещений, окраску оборудования, а также работы по ремонту кровли над машинными помещениями, ремонту порогов посадочных площадок, заделке отверстий у вызывных кнопок, замене линолеума в кабинах лифтов, замену сгоревших электроламп в шахтах, машинных помещениях и кабинах лифтов с использованием запасных частей и материалов Заказчика. </w:t>
      </w:r>
    </w:p>
    <w:p>
      <w:pPr>
        <w:ind w:firstLine="567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>Исполнитель обеспечивает не реже 1-го раза в 12 месяцев подготовку лифтов к периодическому техническому освидетельствованию.</w:t>
      </w:r>
    </w:p>
    <w:p>
      <w:pPr>
        <w:jc w:val="center"/>
      </w:pPr>
    </w:p>
    <w:sectPr>
      <w:pgSz w:w="11906" w:h="16838"/>
      <w:pgMar w:top="1440" w:right="866" w:bottom="998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ltica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F0074"/>
    <w:rsid w:val="5C6F0074"/>
    <w:rsid w:val="6713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ind w:firstLine="709"/>
      <w:jc w:val="both"/>
    </w:pPr>
    <w:rPr>
      <w:rFonts w:ascii="Baltica" w:hAnsi="Baltica" w:eastAsia="Times New Roman" w:cs="Times New Roman"/>
      <w:sz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37"/>
    <w:basedOn w:val="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2021-06-18T06:49:00Z</dcterms:created>
  <dc:creator>odayn</dc:creator>
  <cp:lastModifiedBy>odayn</cp:lastModifiedBy>
  <dcterms:modified xsi:type="dcterms:W3CDTF">2021-06-18T07:29:26Z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