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5590"/>
        <w:gridCol w:w="2207"/>
      </w:tblGrid>
      <w:tr w:rsidR="007412AC" w:rsidRPr="00637F77" w:rsidTr="00011128">
        <w:tc>
          <w:tcPr>
            <w:tcW w:w="1696" w:type="dxa"/>
          </w:tcPr>
          <w:p w:rsidR="007412AC" w:rsidRPr="00637F77" w:rsidRDefault="007412AC" w:rsidP="000111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Ставка страховых взносов </w:t>
            </w:r>
          </w:p>
        </w:tc>
        <w:tc>
          <w:tcPr>
            <w:tcW w:w="5590" w:type="dxa"/>
          </w:tcPr>
          <w:p w:rsidR="007412AC" w:rsidRPr="00637F77" w:rsidRDefault="007412AC" w:rsidP="00152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Страхователь</w:t>
            </w:r>
          </w:p>
        </w:tc>
        <w:tc>
          <w:tcPr>
            <w:tcW w:w="2207" w:type="dxa"/>
          </w:tcPr>
          <w:p w:rsidR="007412AC" w:rsidRPr="00637F77" w:rsidRDefault="007412AC" w:rsidP="000111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Срок действия </w:t>
            </w:r>
            <w:r w:rsidR="00011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ставки</w:t>
            </w:r>
          </w:p>
        </w:tc>
      </w:tr>
      <w:tr w:rsidR="00011128" w:rsidRPr="00637F77" w:rsidTr="00011128">
        <w:tc>
          <w:tcPr>
            <w:tcW w:w="1696" w:type="dxa"/>
          </w:tcPr>
          <w:p w:rsidR="00011128" w:rsidRPr="00011128" w:rsidRDefault="00011128" w:rsidP="000111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1112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5590" w:type="dxa"/>
          </w:tcPr>
          <w:p w:rsidR="00011128" w:rsidRPr="00011128" w:rsidRDefault="00011128" w:rsidP="000111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1112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бщий тариф в пределах ЕПВБ</w:t>
            </w:r>
          </w:p>
        </w:tc>
        <w:tc>
          <w:tcPr>
            <w:tcW w:w="2207" w:type="dxa"/>
          </w:tcPr>
          <w:p w:rsidR="00011128" w:rsidRPr="00637F77" w:rsidRDefault="00011128" w:rsidP="000111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Бессрочно</w:t>
            </w:r>
          </w:p>
        </w:tc>
      </w:tr>
      <w:tr w:rsidR="00011128" w:rsidRPr="00637F77" w:rsidTr="00011128">
        <w:tc>
          <w:tcPr>
            <w:tcW w:w="1696" w:type="dxa"/>
          </w:tcPr>
          <w:p w:rsidR="00011128" w:rsidRPr="00637F77" w:rsidRDefault="00011128" w:rsidP="000111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1112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15,1%</w:t>
            </w:r>
          </w:p>
        </w:tc>
        <w:tc>
          <w:tcPr>
            <w:tcW w:w="5590" w:type="dxa"/>
          </w:tcPr>
          <w:p w:rsidR="00011128" w:rsidRPr="00011128" w:rsidRDefault="00011128" w:rsidP="000111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Pr="0001112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бщий тариф </w:t>
            </w:r>
            <w:r w:rsidRPr="0001112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 превышения </w:t>
            </w:r>
            <w:r w:rsidRPr="0001112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ЕПВБ</w:t>
            </w:r>
          </w:p>
        </w:tc>
        <w:tc>
          <w:tcPr>
            <w:tcW w:w="2207" w:type="dxa"/>
          </w:tcPr>
          <w:p w:rsidR="00011128" w:rsidRPr="00637F77" w:rsidRDefault="00011128" w:rsidP="000111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Бессрочно</w:t>
            </w:r>
          </w:p>
        </w:tc>
      </w:tr>
      <w:tr w:rsidR="007412AC" w:rsidRPr="00637F77" w:rsidTr="00011128">
        <w:tc>
          <w:tcPr>
            <w:tcW w:w="1696" w:type="dxa"/>
          </w:tcPr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5590" w:type="dxa"/>
          </w:tcPr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компаний и ИП — субъекты малого и среднего бизнеса;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субъекты МСП, с основным видом деятельности — предоставление продуктов питания, со среднесписочной численностью не превышает 250 человек;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участники инновационного центра «Сколково». </w:t>
            </w:r>
          </w:p>
        </w:tc>
        <w:tc>
          <w:tcPr>
            <w:tcW w:w="2207" w:type="dxa"/>
          </w:tcPr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Бессрочно (п. 2.4 ст. 427 НК РФ).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Льготный тариф применят не ко всем выплатам, а только к части, превышающей МРОТ. Остальная сумма облагается по ставке 30%.</w:t>
            </w:r>
          </w:p>
        </w:tc>
      </w:tr>
      <w:tr w:rsidR="007412AC" w:rsidRPr="00637F77" w:rsidTr="00011128">
        <w:tc>
          <w:tcPr>
            <w:tcW w:w="1696" w:type="dxa"/>
          </w:tcPr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7,6%</w:t>
            </w:r>
            <w:r w:rsidRPr="00637F77">
              <w:rPr>
                <w:color w:val="000000" w:themeColor="text1"/>
              </w:rPr>
              <w:t xml:space="preserve"> - в </w:t>
            </w: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пределах единой базы;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0% - в случае превышения предельной базы</w:t>
            </w:r>
          </w:p>
        </w:tc>
        <w:tc>
          <w:tcPr>
            <w:tcW w:w="5590" w:type="dxa"/>
          </w:tcPr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российские IT-компании и ИП;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российские организации из реестра радиоэлектронной промышленности;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российские компании, производящие и реализующие собственную анимационную аудиовизуальную продукцию;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резиденты ТОСЭР;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участники СЭЗ в Крыму и Севастополе;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резиденты порта Владивосток;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резиденты ОЭЗ в Калининградской области;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социально-ориентированные НКО на УСН;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благотворительные организации на УСН;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организации, зарегистрированные на Курильских островах;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студенческие отряды из реестра молодежных и детских объединений с господдержкой.</w:t>
            </w:r>
          </w:p>
        </w:tc>
        <w:tc>
          <w:tcPr>
            <w:tcW w:w="2207" w:type="dxa"/>
          </w:tcPr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Бессрочно.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Исключение — НКО и благотворительные организации на УСН, для них ставка применяется в период 2023 -2024 гг.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12AC" w:rsidRPr="00637F77" w:rsidTr="00011128">
        <w:tc>
          <w:tcPr>
            <w:tcW w:w="1696" w:type="dxa"/>
          </w:tcPr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0%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Организации, которые платят экипажам судов,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</w:t>
            </w: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арегистрированных в Российском международном реестре (п. 2.3 ст. 427 НК РФ).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Зарплата остальных сотрудников облагается по единому тарифу страховых взносов.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Исключение — суда для хранения и перевалки нефти, нефтепродуктов и газа в морских портах. Для них льготы не действуют. </w:t>
            </w:r>
          </w:p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</w:tcPr>
          <w:p w:rsidR="007412AC" w:rsidRPr="00637F77" w:rsidRDefault="007412AC" w:rsidP="00152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7F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 2023 по 2027 год включительно.</w:t>
            </w:r>
          </w:p>
        </w:tc>
      </w:tr>
    </w:tbl>
    <w:p w:rsidR="00477C37" w:rsidRDefault="00A7318B"/>
    <w:p w:rsidR="007412AC" w:rsidRDefault="007412AC"/>
    <w:p w:rsidR="007412AC" w:rsidRDefault="007412AC"/>
    <w:sectPr w:rsidR="0074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8B" w:rsidRDefault="00A7318B" w:rsidP="007412AC">
      <w:pPr>
        <w:spacing w:after="0" w:line="240" w:lineRule="auto"/>
      </w:pPr>
      <w:r>
        <w:separator/>
      </w:r>
    </w:p>
  </w:endnote>
  <w:endnote w:type="continuationSeparator" w:id="0">
    <w:p w:rsidR="00A7318B" w:rsidRDefault="00A7318B" w:rsidP="0074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8B" w:rsidRDefault="00A7318B" w:rsidP="007412AC">
      <w:pPr>
        <w:spacing w:after="0" w:line="240" w:lineRule="auto"/>
      </w:pPr>
      <w:r>
        <w:separator/>
      </w:r>
    </w:p>
  </w:footnote>
  <w:footnote w:type="continuationSeparator" w:id="0">
    <w:p w:rsidR="00A7318B" w:rsidRDefault="00A7318B" w:rsidP="00741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C"/>
    <w:rsid w:val="00011128"/>
    <w:rsid w:val="00027BA9"/>
    <w:rsid w:val="007412AC"/>
    <w:rsid w:val="007F0E88"/>
    <w:rsid w:val="00A7318B"/>
    <w:rsid w:val="00B7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57AE"/>
  <w15:chartTrackingRefBased/>
  <w15:docId w15:val="{20F99750-09F5-4A63-87A8-C2ABA711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2AC"/>
  </w:style>
  <w:style w:type="paragraph" w:styleId="a6">
    <w:name w:val="footer"/>
    <w:basedOn w:val="a"/>
    <w:link w:val="a7"/>
    <w:uiPriority w:val="99"/>
    <w:unhideWhenUsed/>
    <w:rsid w:val="00741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1410</Characters>
  <Application>Microsoft Office Word</Application>
  <DocSecurity>0</DocSecurity>
  <Lines>11</Lines>
  <Paragraphs>3</Paragraphs>
  <ScaleCrop>false</ScaleCrop>
  <Company>Russaudit LLC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Emanova</dc:creator>
  <cp:keywords/>
  <dc:description/>
  <cp:lastModifiedBy>Elena Emanova</cp:lastModifiedBy>
  <cp:revision>2</cp:revision>
  <dcterms:created xsi:type="dcterms:W3CDTF">2023-01-26T15:27:00Z</dcterms:created>
  <dcterms:modified xsi:type="dcterms:W3CDTF">2023-01-26T20:58:00Z</dcterms:modified>
</cp:coreProperties>
</file>