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УТВЕРЖДЕН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собранием кредиторов должника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Протокол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плана реструктуризации долгов гражданина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г.р.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СНИЛС: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ИНН: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 По  состоянию  на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«__» _________ 202__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задолженность  гражданина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- Должник) составляет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рублей, которая состоит из: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-1385.0" w:type="dxa"/>
        <w:tblLayout w:type="fixed"/>
        <w:tblLook w:val="0000"/>
      </w:tblPr>
      <w:tblGrid>
        <w:gridCol w:w="600"/>
        <w:gridCol w:w="1755"/>
        <w:gridCol w:w="1560"/>
        <w:gridCol w:w="1680"/>
        <w:gridCol w:w="1875"/>
        <w:gridCol w:w="1335"/>
        <w:gridCol w:w="1275"/>
        <w:gridCol w:w="1395"/>
        <w:tblGridChange w:id="0">
          <w:tblGrid>
            <w:gridCol w:w="600"/>
            <w:gridCol w:w="1755"/>
            <w:gridCol w:w="1560"/>
            <w:gridCol w:w="1680"/>
            <w:gridCol w:w="1875"/>
            <w:gridCol w:w="1335"/>
            <w:gridCol w:w="1275"/>
            <w:gridCol w:w="1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Наименование/Ф.И.О. кредитора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Основание обязательства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 основной задолженности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%, пени, штрафы за просрочку исполнения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требования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залоговых обязательствах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Порядок и сроки погашения в денежной форме требований кредитора и уполномоченного органа.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отношении Должника применяется рассрочка погашения задолженности в соответствии с графиками погашения задолженности, установленными настоящим Планом реструктуризации.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дня подписания настоящего Плана реструктуризации проценты на сумму задолженности, по которой осуществляется реструктуризация, не начисляются.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просрочки платежей в установленный графиком погашения долга срок Должник уплачивает Кредитору проценты за каждый день просрочки в следующем размере: _____________________________.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Должник вправе произвести досрочное погашение задолженности.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График погашения задолженности: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62.0" w:type="dxa"/>
        <w:jc w:val="left"/>
        <w:tblInd w:w="-5.0" w:type="dxa"/>
        <w:tblLayout w:type="fixed"/>
        <w:tblLook w:val="0000"/>
      </w:tblPr>
      <w:tblGrid>
        <w:gridCol w:w="1242"/>
        <w:gridCol w:w="2410"/>
        <w:gridCol w:w="2410"/>
        <w:tblGridChange w:id="0">
          <w:tblGrid>
            <w:gridCol w:w="1242"/>
            <w:gridCol w:w="241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уплаты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Порядок и сроки реализации предмета залога (ипотеки).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если Должник не исполняет план реструктуризации долга на протяжении 3 месяцев подряд, Кредитор вправе обратить взыскание на предмет ипотеки в порядке, предусмотренном действующим законодательством.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Срок реализации настоящего Плана реструктуризации долгов гражданина ___ года (____________).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 случае существенного изменения имущественного положения Должника, а именно: утраты трудоспособности, Должник обязан уведомить конкурсного кредитора и уполномоченный орган путем направления заказного письма с описью вложения с приложением медицинской документации.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перечень имущества и имущественных прав гражданина;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сведения об источниках дохода гражданина за шесть месяцев, предшествующих представлению в суд Плана реструктуризации его долгов;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сведения о кредиторской задолженности, в том числе задолженности по текущим обязательствам;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кредитный отчет, полученный из бюро кредитных историй, или документ, подтверждающий отсутствие у гражданина кредитной истории и полученный из бюро кредитных историй;</w:t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заявление гражданина о достоверности и полноте прилагаемых документов, соответствии гражданина требованиям, установленным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ст. 213.13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Федерального закона от 26.10.2002 N 127-ФЗ "О несостоятельности (банкротстве)";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копии документов, подтверждающих соответствующие права на имущество гражданина (при наличии);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заявление гражданина об одобрении Плана реструктуризации его долгов или о возражении гражданина в отношении указанного Плана (в случае, если указанный План предложен конкурсным кредитором или уполномоченным органом).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"__"___________ ____ г.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_______________/__________________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(подпись,               Ф.И.О.)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5" w:orient="portrait"/>
      <w:pgMar w:bottom="1134" w:top="1134" w:left="1701" w:right="70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  <w:tab w:val="left" w:pos="86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D595D"/>
    <w:rPr>
      <w:rFonts w:asciiTheme="minorHAnsi" w:hAnsiTheme="minorHAnsi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nformat" w:customStyle="1">
    <w:name w:val="ConsPlusNonformat"/>
    <w:uiPriority w:val="99"/>
    <w:rsid w:val="009D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 w:eastAsiaTheme="minorEastAsi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 w:val="1"/>
    <w:rsid w:val="009D595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Нижний колонтитул Знак"/>
    <w:basedOn w:val="a0"/>
    <w:link w:val="a3"/>
    <w:uiPriority w:val="99"/>
    <w:rsid w:val="009D595D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733vsyXTXotiMm2W8aveUfdFbA==">AMUW2mWcawbFaZf/V6/Bvi+tLJZ0pUJF+tJH7BtY0AawuOOzUAMAv/ETXnFV6Q08KLmkZAm2w/QUkgkgrNhe0J0xeRlPu863OLTxZmTsRZ3ooqYZivLa31aP8p/PxpFsEWsz7tRdCfD6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2019-02-22T10:05:00Z</dcterms:created>
  <dc:creator>Lynn</dc:creator>
</cp:coreProperties>
</file>