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4A" w:rsidRDefault="000C7A4A" w:rsidP="000C7A4A">
      <w:pPr>
        <w:pStyle w:val="a3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Уведомление о проведении очередного общего собрания членов и представителей членов СНТСН «ХИМИК-2»</w:t>
      </w:r>
    </w:p>
    <w:p w:rsidR="000C7A4A" w:rsidRDefault="000C7A4A" w:rsidP="000C7A4A">
      <w:pPr>
        <w:pStyle w:val="a3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04.06.2022 г. в 15:00 часов состоится очередное общее собрание членов СНТСН «ХИМИК-2».</w:t>
      </w:r>
    </w:p>
    <w:p w:rsidR="000C7A4A" w:rsidRDefault="000C7A4A" w:rsidP="000C7A4A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Адрес проведения собрания: МО, ГО Егорьевск, дер. Верейка, сторожка (здание правления) СНТСН «ХИМИК-2»</w:t>
      </w:r>
    </w:p>
    <w:p w:rsidR="000C7A4A" w:rsidRDefault="000C7A4A" w:rsidP="000C7A4A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Регистрация членов общего собрания начинается в 13:00 часов.</w:t>
      </w:r>
    </w:p>
    <w:p w:rsidR="000C7A4A" w:rsidRDefault="000C7A4A" w:rsidP="000C7A4A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При себе иметь в ОБЯЗАТЕЛЬНОМ порядке:</w:t>
      </w:r>
    </w:p>
    <w:p w:rsidR="000C7A4A" w:rsidRDefault="000C7A4A" w:rsidP="000C7A4A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1.     Паспорт или документ, заменяющий его в соответствии с законами РФ;</w:t>
      </w:r>
    </w:p>
    <w:p w:rsidR="000C7A4A" w:rsidRDefault="000C7A4A" w:rsidP="000C7A4A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2.     Либо доверенность на представителя (бланк есть на сторожке).</w:t>
      </w:r>
    </w:p>
    <w:p w:rsidR="000C7A4A" w:rsidRDefault="000C7A4A" w:rsidP="000C7A4A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  <w:u w:val="single"/>
        </w:rPr>
        <w:t>Повестка собрания:</w:t>
      </w:r>
    </w:p>
    <w:p w:rsidR="000C7A4A" w:rsidRDefault="000C7A4A" w:rsidP="000C7A4A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1. Выборы председателя собрания, секретаря собрания и членов счетной комиссии.</w:t>
      </w:r>
    </w:p>
    <w:p w:rsidR="000C7A4A" w:rsidRDefault="000C7A4A" w:rsidP="000C7A4A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2. Принятие новых членов товарищества (заявления на прием в члены принимаются до начала собрания, бланк есть на сайте).</w:t>
      </w:r>
    </w:p>
    <w:p w:rsidR="000C7A4A" w:rsidRDefault="000C7A4A" w:rsidP="000C7A4A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3. Отчет правления за период 2021/2022 гг.</w:t>
      </w:r>
    </w:p>
    <w:p w:rsidR="000C7A4A" w:rsidRDefault="000C7A4A" w:rsidP="000C7A4A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4. Отчет ревизора о деятельности правления за период 2021/2022 гг.</w:t>
      </w:r>
    </w:p>
    <w:p w:rsidR="000C7A4A" w:rsidRDefault="000C7A4A" w:rsidP="000C7A4A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5. Избрание органов товарищества (председателя товарищества, членов правления товарищества), ревизионной комиссии (ревизора).</w:t>
      </w:r>
    </w:p>
    <w:p w:rsidR="000C7A4A" w:rsidRDefault="000C7A4A" w:rsidP="000C7A4A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6. Определение условий, на которых осуществляется оплата труда председателя товарищества, членов правления товарищества, членов ревизионной комиссии (ревизора), а также иных лиц, с которыми товариществом заключены трудовые договоры.</w:t>
      </w:r>
    </w:p>
    <w:p w:rsidR="000C7A4A" w:rsidRDefault="000C7A4A" w:rsidP="000C7A4A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7. Решение вопроса о продаже земельных участков из состава земель общего пользования СНТСН «ХИМИК-2».</w:t>
      </w:r>
    </w:p>
    <w:p w:rsidR="000C7A4A" w:rsidRDefault="000C7A4A" w:rsidP="000C7A4A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8. Решение вопроса о передаче имущества общего пользования (объектов электросетевого хозяйства) с баланса СНТСН «ХИМИК-2» на баланс территориальной сетевой организация на добровольной основе. Определение кандидатуры уполномоченного представителя взаимодействию с ПАО «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Россети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>». Согласование мероприятий, выполнение которых должно предшествовать подаче заявки на консолидацию объектов электросетевого хозяйства. Обеспечение доступа представителей ПАО «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Россети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Московский регион» на земельные участки для эксплуатации объектов электросетевого хозяйства после их отчуждения, соблюдение условий использования земельных участков в пределах охранных зон объектов электросетевого хозяйства.</w:t>
      </w:r>
    </w:p>
    <w:p w:rsidR="000C7A4A" w:rsidRDefault="000C7A4A" w:rsidP="000C7A4A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9. </w:t>
      </w:r>
      <w:hyperlink r:id="rId4" w:tgtFrame="_blank" w:history="1">
        <w:r>
          <w:rPr>
            <w:rStyle w:val="a4"/>
            <w:rFonts w:ascii="Arial" w:hAnsi="Arial" w:cs="Arial"/>
            <w:color w:val="E65100"/>
            <w:sz w:val="20"/>
            <w:szCs w:val="20"/>
          </w:rPr>
          <w:t>Утверждение приходно-расходной сметы СНТСН «Химик-2» на 2022/2023 гг.</w:t>
        </w:r>
      </w:hyperlink>
    </w:p>
    <w:p w:rsidR="000C7A4A" w:rsidRDefault="000C7A4A" w:rsidP="000C7A4A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10. </w:t>
      </w:r>
      <w:hyperlink r:id="rId5" w:tgtFrame="_blank" w:history="1">
        <w:r>
          <w:rPr>
            <w:rStyle w:val="a4"/>
            <w:rFonts w:ascii="Arial" w:hAnsi="Arial" w:cs="Arial"/>
            <w:color w:val="E65100"/>
            <w:sz w:val="20"/>
            <w:szCs w:val="20"/>
          </w:rPr>
          <w:t>Утверждение финансово-экономического обоснования размера взносов, финансово-экономического обоснования размера платы, предусмотренной ч. 3 ст. 5 N 217-ФЗ от 29.07.2017, на 2022/2023 гг. и утверждение размера членского взноса и размера платы в соответствии с ч.3 ст. 5 N 217-ФЗ от 29.07.2017 на период 2021/2022 гг.</w:t>
        </w:r>
      </w:hyperlink>
    </w:p>
    <w:p w:rsidR="00F96830" w:rsidRDefault="000C7A4A">
      <w:bookmarkStart w:id="0" w:name="_GoBack"/>
      <w:bookmarkEnd w:id="0"/>
    </w:p>
    <w:sectPr w:rsidR="00F9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A4A"/>
    <w:rsid w:val="000C7A4A"/>
    <w:rsid w:val="007D4927"/>
    <w:rsid w:val="008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5C97F-CF76-4461-812C-0B40C447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7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7A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1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-2-vlcakk5d.xn--p1ai/doc/proekt_FEO_2022_2023.pdf" TargetMode="External"/><Relationship Id="rId4" Type="http://schemas.openxmlformats.org/officeDocument/2006/relationships/hyperlink" Target="http://xn---2-vlcakk5d.xn--p1ai/doc/proekt_Smeta_2022_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2022-06-15T03:27:00Z</dcterms:created>
  <dcterms:modified xsi:type="dcterms:W3CDTF">2022-06-15T03:27:00Z</dcterms:modified>
</cp:coreProperties>
</file>