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name w:val="Таблица1"/>
        <w:tabOrder w:val="0"/>
        <w:jc w:val="left"/>
        <w:tblInd w:w="0" w:type="dxa"/>
        <w:tblW w:w="9360" w:type="dxa"/>
      </w:tblPr>
      <w:tblGrid>
        <w:gridCol w:w="2205"/>
        <w:gridCol w:w="1920"/>
        <w:gridCol w:w="2430"/>
        <w:gridCol w:w="2805"/>
      </w:tblGrid>
      <w:tr>
        <w:trPr>
          <w:tblHeader w:val="0"/>
          <w:cantSplit w:val="0"/>
          <w:trHeight w:val="0" w:hRule="auto"/>
        </w:trPr>
        <w:tc>
          <w:tcPr>
            <w:tcW w:w="22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</w:rPr>
            </w:pPr>
            <w:r>
              <w:rPr>
                <w:b/>
              </w:rPr>
              <w:t>Наименование объекта учета</w:t>
            </w:r>
          </w:p>
        </w:tc>
        <w:tc>
          <w:tcPr>
            <w:tcW w:w="1920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</w:rPr>
            </w:pPr>
            <w:r>
              <w:rPr>
                <w:b/>
              </w:rPr>
              <w:t>Код счета бухгалтерского учета</w:t>
            </w:r>
          </w:p>
        </w:tc>
        <w:tc>
          <w:tcPr>
            <w:tcW w:w="2430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</w:rPr>
            </w:pPr>
            <w:r>
              <w:rPr>
                <w:b/>
              </w:rPr>
              <w:t>Способ ведения бюджетного (бухгалтерского) учета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b/>
              </w:rPr>
            </w:pPr>
            <w:r>
              <w:rPr>
                <w:b/>
              </w:rPr>
              <w:t>Характеристика применяемого способа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</w:t>
            </w:r>
          </w:p>
        </w:tc>
        <w:tc>
          <w:tcPr>
            <w:tcW w:w="1920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</w:t>
            </w:r>
          </w:p>
        </w:tc>
        <w:tc>
          <w:tcPr>
            <w:tcW w:w="2430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3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spacing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Основные средства</w:t>
            </w:r>
          </w:p>
        </w:tc>
        <w:tc>
          <w:tcPr>
            <w:tcW w:w="192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0 101 00 000</w:t>
            </w:r>
          </w:p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Определение первоначальной стоимости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1. По сумме капитальных вложений, формируемых с учетом сумм НДС, предъявленных субъекту учета поставщиками (подрядчиками, исполнителями)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2. По затратам на производство актива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Методы определения справедливой стоимости для различных видов активов и обязательств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1. Метод рыночных цен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2. Метод амортизированной стоимости замещения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Определение срока полезного использования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1. Исходя из ожидаемого срока получения экономических выгод и (или) полезного потенциала, заключенных в активе, признаваемом объектом основных средств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2. Исходя из рекомендаций, содержащихся в документах производителя, входящих в комплектацию объекта имущества, и (или) на основании решения комиссии субъекта учета по поступлению и выбытию активов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Отражение объекта при первом применении СГС «Основные средства»**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1. По кадастровой стоимости на дату первого применения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2. По ранее сформированным оценкам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3. Если </w:t>
            </w:r>
            <w:hyperlink r:id="rId7" w:history="1">
              <w:r>
                <w:rPr>
                  <w:rStyle w:val="char1"/>
                  <w:color w:val="000000"/>
                  <w:u w:color="auto" w:val="none"/>
                </w:rPr>
                <w:t>балансовая стоимость</w:t>
              </w:r>
            </w:hyperlink>
            <w:r>
              <w:t> объекта до первого применения не была сформирована, в условной оценке «один объект – один рубль»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Методы оценки учета материальных ценностей на забалансовых счетах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1. По остаточной стоимости (при наличии)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2. В условной оценке  при полной амортизации объекта (при нулевой остаточной стоимости)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Нематериальные активы</w:t>
            </w:r>
          </w:p>
        </w:tc>
        <w:tc>
          <w:tcPr>
            <w:tcW w:w="192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0 102 00 000</w:t>
            </w:r>
          </w:p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Определение срока полезного использования нематериальных активов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1. Срок действия прав учреждения на результат интеллектуальной деятельности или средство индивидуализации и периода контроля над активом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2. Срок действия патента, свидетельства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3. Ожидаемый срок использования актива, в течение которого учреждение предполагает использовать актив в деятельности, направленной на достижение целей создания учреждения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Амортизация</w:t>
            </w:r>
          </w:p>
        </w:tc>
        <w:tc>
          <w:tcPr>
            <w:tcW w:w="192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0 104 00 000</w:t>
            </w:r>
          </w:p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Методы начисления амортизации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1. Линейный метод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2. Метод уменьшаемого остатка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3. Пропорционально объему продукции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Методы учета суммы амортизации при переоценке объекта основных средств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1. Пересчет накопленной амортизации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2. Накопленная </w:t>
            </w:r>
            <w:hyperlink r:id="rId8" w:history="1">
              <w:r>
                <w:rPr>
                  <w:rStyle w:val="char1"/>
                  <w:color w:val="000000"/>
                  <w:u w:color="auto" w:val="none"/>
                </w:rPr>
                <w:t>амортизация</w:t>
              </w:r>
            </w:hyperlink>
            <w:r>
              <w:t> вычитается из балансовой стоимости объекта основных средств, после чего остаточная стоимость пересчитывается до переоцененной стоимости актива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Материальные запасы</w:t>
            </w:r>
          </w:p>
        </w:tc>
        <w:tc>
          <w:tcPr>
            <w:tcW w:w="192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0 105 00 000</w:t>
            </w:r>
          </w:p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Определение фактической стоимости (при осуществлении централизованных закупок и (или) осуществлении торговой (производственной) деятельности)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1. Затраты, произведенные по заготовке и доставке материальных запасов до центральных (производственных) складов (баз) и (или) грузополучателей, включая страхование доставки, входят в фактическую стоимость приобретаемых материальных запасов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2. Затраты, произведенные по заготовке и доставке материальных запасов до центральных (производственных) складов (баз) и (или) грузополучателей, включая страхование доставки, относятся в составе расходов на финансовый результат текущего финансового года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3. Закупки не осуществляются централизованно, торговая (производственная) деятельность не осуществляется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Выбытие материальных запасов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1. По фактической стоимости каждой единицы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2. По средней фактической стоимости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Затраты на изготовление готовой продукции, выполнение работ, оказание услуг</w:t>
            </w:r>
          </w:p>
        </w:tc>
        <w:tc>
          <w:tcPr>
            <w:tcW w:w="192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0 109 00 000</w:t>
            </w:r>
          </w:p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Распределение накладных затрат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1. Пропорционально прямым затратам по оплате труда, материальным затратам, иным прямым затратам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2. Пропорционально объему выручки от реализации продукции (работ, услуг), иному показателю, характеризующему результаты деятельности учреждения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Бланки строгой отчетности</w:t>
            </w:r>
          </w:p>
        </w:tc>
        <w:tc>
          <w:tcPr>
            <w:tcW w:w="192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03</w:t>
            </w:r>
          </w:p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Учет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 xml:space="preserve">1. Условная оценка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 xml:space="preserve">2. По стоимости приобретения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Основные средства в эксплуатации</w:t>
            </w:r>
          </w:p>
        </w:tc>
        <w:tc>
          <w:tcPr>
            <w:tcW w:w="192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21</w:t>
            </w:r>
          </w:p>
        </w:tc>
        <w:tc>
          <w:tcPr>
            <w:tcW w:w="2430" w:type="dxa"/>
            <w:vMerge w:val="restart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Учет</w:t>
            </w:r>
          </w:p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 xml:space="preserve">1. Условная оценка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05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192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430" w:type="dxa"/>
            <w:vMerge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/>
        </w:tc>
        <w:tc>
          <w:tcPr>
            <w:tcW w:w="2805" w:type="dxa"/>
            <w:shd w:val="none"/>
            <w:tcMar>
              <w:top w:w="40" w:type="dxa"/>
              <w:left w:w="40" w:type="dxa"/>
              <w:bottom w:w="40" w:type="dxa"/>
              <w:right w:w="4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15275427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t>2. По балансовой стоимости введенного в эксплуатацию объекта</w:t>
            </w:r>
          </w:p>
        </w:tc>
      </w:tr>
    </w:tbl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26"/>
    <w:tmLastPosCaret>
      <w:tmLastPosPgfIdx w:val="0"/>
      <w:tmLastPosIdx w:val="21"/>
    </w:tmLastPosCaret>
    <w:tmLastPosAnchor>
      <w:tmLastPosPgfIdx w:val="0"/>
      <w:tmLastPosIdx w:val="0"/>
    </w:tmLastPosAnchor>
    <w:tmLastPosTblRect w:left="0" w:top="0" w:right="0" w:bottom="0"/>
  </w:tmLastPos>
  <w:tmAppRevision w:date="1615275427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s://www.audit-it.ru/terms/accounting/balansovaya_stoimost.html" TargetMode="External"/><Relationship Id="rId8" Type="http://schemas.openxmlformats.org/officeDocument/2006/relationships/hyperlink" Target="https://www.audit-it.ru/terms/accounting/amortiz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2021-03-09T07:32:24Z</cp:lastPrinted>
  <dcterms:created xsi:type="dcterms:W3CDTF">2021-03-09T07:28:19Z</dcterms:created>
  <dcterms:modified xsi:type="dcterms:W3CDTF">2021-03-09T07:37:07Z</dcterms:modified>
</cp:coreProperties>
</file>